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DA" w:rsidRDefault="006413DA" w:rsidP="006413DA">
      <w:pPr>
        <w:pStyle w:val="Balk1"/>
        <w:spacing w:before="60"/>
      </w:pPr>
      <w:r>
        <w:t>MUŞ ALPARSLAN ÜNİVERSİTESİ</w:t>
      </w:r>
    </w:p>
    <w:p w:rsidR="006413DA" w:rsidRDefault="006413DA" w:rsidP="006413DA">
      <w:pPr>
        <w:pStyle w:val="GvdeMetni"/>
        <w:spacing w:before="2"/>
        <w:jc w:val="left"/>
        <w:rPr>
          <w:b/>
          <w:sz w:val="23"/>
        </w:rPr>
      </w:pPr>
    </w:p>
    <w:p w:rsidR="006413DA" w:rsidRDefault="006413DA" w:rsidP="006413DA">
      <w:pPr>
        <w:ind w:left="1559" w:right="1559"/>
        <w:jc w:val="center"/>
        <w:rPr>
          <w:b/>
          <w:sz w:val="24"/>
        </w:rPr>
      </w:pPr>
      <w:r>
        <w:rPr>
          <w:b/>
          <w:sz w:val="24"/>
        </w:rPr>
        <w:t>SOSYAL BİLİMLER MESLEK YÜKSEKOKULU KALİTE GÜVENCE SİSTEMİ</w:t>
      </w:r>
    </w:p>
    <w:p w:rsidR="006413DA" w:rsidRDefault="006413DA" w:rsidP="006413DA">
      <w:pPr>
        <w:pStyle w:val="GvdeMetni"/>
        <w:spacing w:before="9"/>
        <w:jc w:val="left"/>
        <w:rPr>
          <w:b/>
          <w:sz w:val="22"/>
        </w:rPr>
      </w:pPr>
    </w:p>
    <w:p w:rsidR="006413DA" w:rsidRDefault="006413DA" w:rsidP="006413DA">
      <w:pPr>
        <w:ind w:left="1559" w:right="1559"/>
        <w:jc w:val="center"/>
        <w:rPr>
          <w:b/>
          <w:sz w:val="24"/>
        </w:rPr>
      </w:pPr>
      <w:r>
        <w:rPr>
          <w:b/>
          <w:sz w:val="24"/>
        </w:rPr>
        <w:t>PUKÖ DÖNGÜSÜ</w:t>
      </w:r>
    </w:p>
    <w:p w:rsidR="006413DA" w:rsidRDefault="006413DA" w:rsidP="006413DA">
      <w:pPr>
        <w:pStyle w:val="GvdeMetni"/>
        <w:spacing w:before="9"/>
        <w:jc w:val="left"/>
        <w:rPr>
          <w:b/>
        </w:rPr>
      </w:pPr>
    </w:p>
    <w:p w:rsidR="006413DA" w:rsidRDefault="006413DA" w:rsidP="006413DA">
      <w:pPr>
        <w:pStyle w:val="GvdeMetni"/>
        <w:spacing w:before="1" w:line="278" w:lineRule="auto"/>
        <w:ind w:left="100" w:right="98" w:firstLine="720"/>
      </w:pPr>
      <w:r>
        <w:t>Üniversitemiz bünyesinde ve Meslek Yüksekokulumuzda kalite güvence sistemi PUKÖ döngüsü yönetim sistemi benimsenmiş, liderlik, yönetim ve kalite, eğitim-öğretim, araştırma</w:t>
      </w:r>
      <w:r w:rsidR="00F42E6F">
        <w:t>-</w:t>
      </w:r>
      <w:r>
        <w:t>geliştirme ve toplumsal katkı süreçlerinde uygulanır h</w:t>
      </w:r>
      <w:r w:rsidR="00F42E6F">
        <w:t>â</w:t>
      </w:r>
      <w:r>
        <w:t>le getirilmiştir. Bu hususta, kalite güvence süreçleri gerekli dokümanlar, eğitimler ve toplantılarla planlanmakta ve uygulanmaktadır. Süreç, birim ve program değerlendirme raporlarıyla, yazışmalar ve toplantılarla kontrol edilmekte ve ihtiyaç duyulan alanlarda gerekli önlemler alınmaktadır. Bu bağlamda, Meslek Yüksekokulumuz 2021-2025 Stratejik Planı hazırlanmış, misyon</w:t>
      </w:r>
      <w:r w:rsidR="00F42E6F">
        <w:t>,</w:t>
      </w:r>
      <w:r>
        <w:t xml:space="preserve"> vizyon ve hedefler oluşturulmuş, SWOT analizi ve PUKÖ döngüsü hazırlanmıştır. Birimdeki tüm süreçlerin işleyişini güvence altına almak amacıyla Birim Görev Tanımları, Birim İş Akış Şemaları, Birim Kamu Hizmet Standartları Tablosu hazırlanmış, paylaşılmış ve uygulanmaktadır. Mezun veren programlarımız her yıl Faaliyet Raporlarını ve Öz Değerlendirme Raporlarını hazırla</w:t>
      </w:r>
      <w:r w:rsidR="00F42E6F">
        <w:t>maktadır</w:t>
      </w:r>
      <w:r>
        <w:t>. Meslek Yüksekokulu yönetimi olarak da her yıl birim İdari Faaliyet Raporu, Program Öz Değerlendirme Raporu ve Birim İç Değerlendirme Raporu (KİDR) hazırlanmakta ve</w:t>
      </w:r>
      <w:r>
        <w:rPr>
          <w:spacing w:val="-4"/>
        </w:rPr>
        <w:t xml:space="preserve"> </w:t>
      </w:r>
      <w:r>
        <w:t>yayımlanmaktadır.</w:t>
      </w:r>
    </w:p>
    <w:p w:rsidR="006413DA" w:rsidRDefault="006413DA" w:rsidP="006413DA">
      <w:pPr>
        <w:pStyle w:val="GvdeMetni"/>
        <w:spacing w:before="6"/>
        <w:jc w:val="left"/>
        <w:rPr>
          <w:sz w:val="20"/>
        </w:rPr>
      </w:pPr>
    </w:p>
    <w:p w:rsidR="006413DA" w:rsidRDefault="006413DA" w:rsidP="006413DA">
      <w:pPr>
        <w:pStyle w:val="GvdeMetni"/>
        <w:spacing w:line="278" w:lineRule="auto"/>
        <w:ind w:left="100" w:right="98" w:firstLine="720"/>
      </w:pPr>
      <w:r>
        <w:t xml:space="preserve">Meslek Yüksekokulumuzda uygulanan KİDR (liderlik, yönetim ve kalite, eğitim-öğretim, araştırma-geliştirme, toplumsal katkı) süreçleri kapsamında iç değerlendirme sonucu kurumun iyileştirmeye açık alanları net bir biçimde ifade edilmektedir. Belirlenen iyileştirmeye açık alanlar ile ilgili uygulamalar takip edilmekte ve her yıl faaliyet raporu ve öz değerlendirme raporu hazırlanmaktadır. İlgili raporlar kurumun kendini iyileştiren sisteminin göstergesi olmakla birlikte kurumun dış gözle değerlendirilmesine de yol gösterici bir rol oynamaktadır. Kurumumuz alt birimlerince vizyon, misyon ve hedeflerimize paralel olarak kurulan kalite yönetim süreçlerine ek olarak birim bazında çeşitli iç ve dış değerlendirme uygulamaları bulunmaktadır. Öz değerlendirme çalışmalarından elde edilen sonuçlar ve kalite ile ilgili diğer gündem maddeleri, Kalite Güvence Sistemi toplantısında dış denetim öncesi görüşülmekte, gerekçeli ve </w:t>
      </w:r>
      <w:proofErr w:type="spellStart"/>
      <w:r>
        <w:t>terminli</w:t>
      </w:r>
      <w:proofErr w:type="spellEnd"/>
      <w:r>
        <w:t xml:space="preserve"> olmak üzere kararlar alınmaktadır. Dış denetim bağımsız denetçiler tarafından gerçekleştirilmekte olup, saha ziyaretleri sonrası hazırlanan Dış Denetim Raporları </w:t>
      </w:r>
      <w:r w:rsidR="00F42E6F">
        <w:t>y</w:t>
      </w:r>
      <w:r>
        <w:t>önetim tarafından gözden geçirme toplantısında gündeme getirilmektedir. Bu sayede, PUKÖ döngüsü kapsamında sürekli iyileştirme çalışmaları çerçevesinde kurumun hedeflerine ulaşması sağlanarak yeni hedefler, stratejiler ve yol haritaları belirlenerek uygulanmakta ve denetlenmektedir.</w:t>
      </w:r>
    </w:p>
    <w:p w:rsidR="006413DA" w:rsidRDefault="006413DA" w:rsidP="006413DA">
      <w:pPr>
        <w:pStyle w:val="GvdeMetni"/>
        <w:spacing w:before="6"/>
        <w:jc w:val="left"/>
        <w:rPr>
          <w:sz w:val="20"/>
        </w:rPr>
      </w:pPr>
    </w:p>
    <w:p w:rsidR="006413DA" w:rsidRDefault="006413DA" w:rsidP="006413DA">
      <w:pPr>
        <w:pStyle w:val="GvdeMetni"/>
        <w:spacing w:line="278" w:lineRule="auto"/>
        <w:ind w:right="98"/>
      </w:pPr>
      <w:r>
        <w:t>Meslek Yüksekokulumuzda</w:t>
      </w:r>
      <w:r w:rsidRPr="00A1627C">
        <w:t xml:space="preserve"> </w:t>
      </w:r>
      <w:r>
        <w:t xml:space="preserve">gerçekleştirilen </w:t>
      </w:r>
      <w:r w:rsidRPr="00A1627C">
        <w:t>hizmetlerin</w:t>
      </w:r>
      <w:r>
        <w:t xml:space="preserve"> </w:t>
      </w:r>
      <w:r w:rsidRPr="00A1627C">
        <w:t>kalitesini</w:t>
      </w:r>
      <w:r>
        <w:t xml:space="preserve"> geliştirmek üzere tüm birimlerde</w:t>
      </w:r>
      <w:r w:rsidRPr="00A1627C">
        <w:t xml:space="preserve"> </w:t>
      </w:r>
      <w:r>
        <w:t>Türkiye</w:t>
      </w:r>
      <w:r w:rsidRPr="00A1627C">
        <w:t xml:space="preserve"> </w:t>
      </w:r>
      <w:r>
        <w:t>Yükseköğretim</w:t>
      </w:r>
      <w:r w:rsidRPr="00A1627C">
        <w:t xml:space="preserve"> </w:t>
      </w:r>
      <w:r>
        <w:t>Yeterlilikler</w:t>
      </w:r>
      <w:r w:rsidRPr="00A1627C">
        <w:t xml:space="preserve"> </w:t>
      </w:r>
      <w:r>
        <w:t>Çerçevesi</w:t>
      </w:r>
      <w:r w:rsidRPr="00A1627C">
        <w:t xml:space="preserve"> </w:t>
      </w:r>
      <w:r>
        <w:t>(TYYÇ),</w:t>
      </w:r>
      <w:r w:rsidRPr="00A1627C">
        <w:t xml:space="preserve"> </w:t>
      </w:r>
      <w:r>
        <w:t>Bologna</w:t>
      </w:r>
      <w:r w:rsidRPr="00A1627C">
        <w:t xml:space="preserve"> </w:t>
      </w:r>
      <w:r>
        <w:t xml:space="preserve">Süreci gibi uygulamalar gerçekleştirilmektedir. Meslek Yüksekokulumuz, iç ve dış paydaşlara hizmet üretmekte ve sunmakta olup, bu hususta hizmet içi eğitim seminerleri, toplantıları ve anketler gerçekleştirmektedir. Birim yöneticileri, akademik ve idari personelimiz Meslek </w:t>
      </w:r>
      <w:r>
        <w:lastRenderedPageBreak/>
        <w:t xml:space="preserve">Yüksekokulumuzun amaçları ve hedefleri doğrultusunda hedef birliğini sağlamak amacıyla stratejik plan doğrultusunda belirlenen uygulamaları gerçekleştirmektedir. Bu </w:t>
      </w:r>
      <w:r w:rsidR="00F42E6F">
        <w:t>kapsamda</w:t>
      </w:r>
      <w:r>
        <w:t xml:space="preserve"> gerek akademik ve gerekse idari personel</w:t>
      </w:r>
      <w:r w:rsidR="00F42E6F">
        <w:t>l</w:t>
      </w:r>
      <w:r>
        <w:t>e kurum içi toplantılar ve memnuniyet anketleri yapılmakta ve elde edilen veriler raporlara dönüştürülmektedir.</w:t>
      </w:r>
    </w:p>
    <w:p w:rsidR="006413DA" w:rsidRDefault="006413DA" w:rsidP="006413DA">
      <w:pPr>
        <w:pStyle w:val="GvdeMetni"/>
        <w:spacing w:line="278" w:lineRule="auto"/>
        <w:ind w:left="100" w:right="98" w:firstLine="720"/>
      </w:pPr>
      <w:r>
        <w:t>Bu yaklaşımla, Meslek Yüksekokulumuzun planlama ve yönetim yaklaşımı yükseköğretime uygun bir</w:t>
      </w:r>
      <w:r w:rsidR="00F42E6F">
        <w:t xml:space="preserve"> </w:t>
      </w:r>
      <w:r>
        <w:t>PUKÖ döngüsü ile desteklenmekte ve bu ilkeler, aşağıda belirtilen döngüsel bir süreç içerisinde uygulanmaktadır:</w:t>
      </w:r>
    </w:p>
    <w:p w:rsidR="006413DA" w:rsidRPr="00F42E6F" w:rsidRDefault="00F42E6F" w:rsidP="00F42E6F">
      <w:pPr>
        <w:tabs>
          <w:tab w:val="left" w:pos="373"/>
        </w:tabs>
        <w:spacing w:before="220" w:line="261" w:lineRule="auto"/>
        <w:ind w:right="98"/>
        <w:jc w:val="both"/>
        <w:rPr>
          <w:sz w:val="24"/>
        </w:rPr>
      </w:pPr>
      <w:r w:rsidRPr="00F42E6F">
        <w:rPr>
          <w:b/>
          <w:sz w:val="24"/>
        </w:rPr>
        <w:t xml:space="preserve">1. </w:t>
      </w:r>
      <w:r w:rsidR="006413DA" w:rsidRPr="00F42E6F">
        <w:rPr>
          <w:b/>
          <w:sz w:val="24"/>
        </w:rPr>
        <w:t>Planlama</w:t>
      </w:r>
      <w:r w:rsidR="006413DA" w:rsidRPr="00F42E6F">
        <w:rPr>
          <w:sz w:val="24"/>
        </w:rPr>
        <w:t>: Yeni bir stratejik yön belirleme veya iç ve/veya dış bir değerlendirmeye dayalı olarak planlama, mevcut uygulamalarda önemli bir iyileştirme için yeniden</w:t>
      </w:r>
      <w:r>
        <w:rPr>
          <w:sz w:val="24"/>
        </w:rPr>
        <w:t xml:space="preserve"> </w:t>
      </w:r>
      <w:r w:rsidR="006413DA" w:rsidRPr="00F42E6F">
        <w:rPr>
          <w:sz w:val="24"/>
        </w:rPr>
        <w:t>planlama,</w:t>
      </w:r>
    </w:p>
    <w:p w:rsidR="006413DA" w:rsidRDefault="006413DA" w:rsidP="00F42E6F">
      <w:pPr>
        <w:pStyle w:val="GvdeMetni"/>
        <w:spacing w:before="5"/>
        <w:rPr>
          <w:sz w:val="20"/>
        </w:rPr>
      </w:pPr>
      <w:bookmarkStart w:id="0" w:name="_GoBack"/>
      <w:bookmarkEnd w:id="0"/>
    </w:p>
    <w:p w:rsidR="006413DA" w:rsidRPr="00F42E6F" w:rsidRDefault="00F42E6F" w:rsidP="00F42E6F">
      <w:pPr>
        <w:tabs>
          <w:tab w:val="left" w:pos="370"/>
        </w:tabs>
        <w:spacing w:before="1" w:line="264" w:lineRule="auto"/>
        <w:ind w:right="98"/>
        <w:jc w:val="both"/>
        <w:rPr>
          <w:sz w:val="24"/>
        </w:rPr>
      </w:pPr>
      <w:r>
        <w:rPr>
          <w:b/>
          <w:sz w:val="24"/>
        </w:rPr>
        <w:t xml:space="preserve">2. </w:t>
      </w:r>
      <w:r w:rsidR="006413DA" w:rsidRPr="00F42E6F">
        <w:rPr>
          <w:b/>
          <w:sz w:val="24"/>
        </w:rPr>
        <w:t xml:space="preserve">Uygulama: </w:t>
      </w:r>
      <w:r w:rsidR="006413DA" w:rsidRPr="00F42E6F">
        <w:rPr>
          <w:sz w:val="24"/>
        </w:rPr>
        <w:t>Planın uygulanması ve sonuçların, önceden kararlaştırılan ölçütlere göre takip</w:t>
      </w:r>
      <w:r w:rsidR="006413DA" w:rsidRPr="00F42E6F">
        <w:rPr>
          <w:spacing w:val="-1"/>
          <w:sz w:val="24"/>
        </w:rPr>
        <w:t xml:space="preserve"> </w:t>
      </w:r>
      <w:r w:rsidR="006413DA" w:rsidRPr="00F42E6F">
        <w:rPr>
          <w:sz w:val="24"/>
        </w:rPr>
        <w:t>edilmesi,</w:t>
      </w:r>
    </w:p>
    <w:p w:rsidR="006413DA" w:rsidRPr="00F42E6F" w:rsidRDefault="00F42E6F" w:rsidP="00F42E6F">
      <w:pPr>
        <w:tabs>
          <w:tab w:val="left" w:pos="340"/>
        </w:tabs>
        <w:spacing w:before="232"/>
        <w:jc w:val="both"/>
        <w:rPr>
          <w:sz w:val="24"/>
        </w:rPr>
      </w:pPr>
      <w:r>
        <w:rPr>
          <w:b/>
          <w:sz w:val="24"/>
        </w:rPr>
        <w:t xml:space="preserve">3. </w:t>
      </w:r>
      <w:r w:rsidR="006413DA" w:rsidRPr="00F42E6F">
        <w:rPr>
          <w:b/>
          <w:sz w:val="24"/>
        </w:rPr>
        <w:t xml:space="preserve">Kontrol: </w:t>
      </w:r>
      <w:r w:rsidR="006413DA" w:rsidRPr="00F42E6F">
        <w:rPr>
          <w:sz w:val="24"/>
        </w:rPr>
        <w:t>Performansın ölçülmesi ve hedeflerle karşılaştırılarak analiz</w:t>
      </w:r>
      <w:r w:rsidR="006413DA" w:rsidRPr="00F42E6F">
        <w:rPr>
          <w:spacing w:val="-11"/>
          <w:sz w:val="24"/>
        </w:rPr>
        <w:t xml:space="preserve"> </w:t>
      </w:r>
      <w:r w:rsidR="006413DA" w:rsidRPr="00F42E6F">
        <w:rPr>
          <w:sz w:val="24"/>
        </w:rPr>
        <w:t>edilmesi,</w:t>
      </w:r>
    </w:p>
    <w:p w:rsidR="006413DA" w:rsidRDefault="006413DA" w:rsidP="00F42E6F">
      <w:pPr>
        <w:pStyle w:val="GvdeMetni"/>
        <w:spacing w:before="2"/>
        <w:rPr>
          <w:sz w:val="23"/>
        </w:rPr>
      </w:pPr>
    </w:p>
    <w:p w:rsidR="006413DA" w:rsidRPr="00F42E6F" w:rsidRDefault="00F42E6F" w:rsidP="00F42E6F">
      <w:pPr>
        <w:tabs>
          <w:tab w:val="left" w:pos="458"/>
        </w:tabs>
        <w:jc w:val="both"/>
        <w:rPr>
          <w:sz w:val="24"/>
        </w:rPr>
      </w:pPr>
      <w:r>
        <w:rPr>
          <w:b/>
          <w:sz w:val="24"/>
        </w:rPr>
        <w:t xml:space="preserve">4. </w:t>
      </w:r>
      <w:r w:rsidR="006413DA" w:rsidRPr="00F42E6F">
        <w:rPr>
          <w:b/>
          <w:sz w:val="24"/>
        </w:rPr>
        <w:t xml:space="preserve">Önlem: </w:t>
      </w:r>
      <w:r w:rsidR="006413DA" w:rsidRPr="00F42E6F">
        <w:rPr>
          <w:sz w:val="24"/>
        </w:rPr>
        <w:t>Değerlendirme sonuçlarına göre gerekli iyileştirmelerin yapılması</w:t>
      </w:r>
      <w:r w:rsidR="006413DA" w:rsidRPr="00F42E6F">
        <w:rPr>
          <w:spacing w:val="19"/>
          <w:sz w:val="24"/>
        </w:rPr>
        <w:t xml:space="preserve"> </w:t>
      </w:r>
      <w:r w:rsidR="006413DA" w:rsidRPr="00F42E6F">
        <w:rPr>
          <w:sz w:val="24"/>
        </w:rPr>
        <w:t>ve</w:t>
      </w:r>
      <w:r>
        <w:rPr>
          <w:sz w:val="24"/>
        </w:rPr>
        <w:t xml:space="preserve"> </w:t>
      </w:r>
      <w:r w:rsidR="006413DA">
        <w:t>uygulama sırasında iyi çalıştığı tespit edilen iyi uygulamalara sahip alanların korunması.</w:t>
      </w:r>
    </w:p>
    <w:p w:rsidR="006413DA" w:rsidRDefault="006413DA" w:rsidP="006413DA">
      <w:pPr>
        <w:pStyle w:val="GvdeMetni"/>
        <w:spacing w:line="278" w:lineRule="auto"/>
        <w:ind w:left="100" w:right="98" w:firstLine="720"/>
        <w:sectPr w:rsidR="006413DA" w:rsidSect="006413DA">
          <w:pgSz w:w="12240" w:h="15840"/>
          <w:pgMar w:top="1400" w:right="1700" w:bottom="280" w:left="1700" w:header="708" w:footer="708" w:gutter="0"/>
          <w:cols w:space="708"/>
        </w:sectPr>
      </w:pPr>
      <w:r>
        <w:t xml:space="preserve">  </w:t>
      </w:r>
    </w:p>
    <w:p w:rsidR="005C7459" w:rsidRDefault="005C7459"/>
    <w:sectPr w:rsidR="005C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87205"/>
    <w:multiLevelType w:val="hybridMultilevel"/>
    <w:tmpl w:val="05D87B84"/>
    <w:lvl w:ilvl="0" w:tplc="F6884CE4">
      <w:start w:val="1"/>
      <w:numFmt w:val="decimal"/>
      <w:lvlText w:val="%1."/>
      <w:lvlJc w:val="left"/>
      <w:pPr>
        <w:ind w:left="100" w:hanging="273"/>
        <w:jc w:val="left"/>
      </w:pPr>
      <w:rPr>
        <w:rFonts w:ascii="Times New Roman" w:eastAsia="Times New Roman" w:hAnsi="Times New Roman" w:cs="Times New Roman" w:hint="default"/>
        <w:b/>
        <w:bCs/>
        <w:spacing w:val="-28"/>
        <w:w w:val="100"/>
        <w:sz w:val="24"/>
        <w:szCs w:val="24"/>
        <w:lang w:val="tr-TR" w:eastAsia="en-US" w:bidi="ar-SA"/>
      </w:rPr>
    </w:lvl>
    <w:lvl w:ilvl="1" w:tplc="4022C590">
      <w:numFmt w:val="bullet"/>
      <w:lvlText w:val="•"/>
      <w:lvlJc w:val="left"/>
      <w:pPr>
        <w:ind w:left="974" w:hanging="273"/>
      </w:pPr>
      <w:rPr>
        <w:rFonts w:hint="default"/>
        <w:lang w:val="tr-TR" w:eastAsia="en-US" w:bidi="ar-SA"/>
      </w:rPr>
    </w:lvl>
    <w:lvl w:ilvl="2" w:tplc="C3D8EF56">
      <w:numFmt w:val="bullet"/>
      <w:lvlText w:val="•"/>
      <w:lvlJc w:val="left"/>
      <w:pPr>
        <w:ind w:left="1848" w:hanging="273"/>
      </w:pPr>
      <w:rPr>
        <w:rFonts w:hint="default"/>
        <w:lang w:val="tr-TR" w:eastAsia="en-US" w:bidi="ar-SA"/>
      </w:rPr>
    </w:lvl>
    <w:lvl w:ilvl="3" w:tplc="3A8A23A2">
      <w:numFmt w:val="bullet"/>
      <w:lvlText w:val="•"/>
      <w:lvlJc w:val="left"/>
      <w:pPr>
        <w:ind w:left="2722" w:hanging="273"/>
      </w:pPr>
      <w:rPr>
        <w:rFonts w:hint="default"/>
        <w:lang w:val="tr-TR" w:eastAsia="en-US" w:bidi="ar-SA"/>
      </w:rPr>
    </w:lvl>
    <w:lvl w:ilvl="4" w:tplc="62583E3E">
      <w:numFmt w:val="bullet"/>
      <w:lvlText w:val="•"/>
      <w:lvlJc w:val="left"/>
      <w:pPr>
        <w:ind w:left="3596" w:hanging="273"/>
      </w:pPr>
      <w:rPr>
        <w:rFonts w:hint="default"/>
        <w:lang w:val="tr-TR" w:eastAsia="en-US" w:bidi="ar-SA"/>
      </w:rPr>
    </w:lvl>
    <w:lvl w:ilvl="5" w:tplc="4A109AAE">
      <w:numFmt w:val="bullet"/>
      <w:lvlText w:val="•"/>
      <w:lvlJc w:val="left"/>
      <w:pPr>
        <w:ind w:left="4470" w:hanging="273"/>
      </w:pPr>
      <w:rPr>
        <w:rFonts w:hint="default"/>
        <w:lang w:val="tr-TR" w:eastAsia="en-US" w:bidi="ar-SA"/>
      </w:rPr>
    </w:lvl>
    <w:lvl w:ilvl="6" w:tplc="B226F788">
      <w:numFmt w:val="bullet"/>
      <w:lvlText w:val="•"/>
      <w:lvlJc w:val="left"/>
      <w:pPr>
        <w:ind w:left="5344" w:hanging="273"/>
      </w:pPr>
      <w:rPr>
        <w:rFonts w:hint="default"/>
        <w:lang w:val="tr-TR" w:eastAsia="en-US" w:bidi="ar-SA"/>
      </w:rPr>
    </w:lvl>
    <w:lvl w:ilvl="7" w:tplc="B9125BAA">
      <w:numFmt w:val="bullet"/>
      <w:lvlText w:val="•"/>
      <w:lvlJc w:val="left"/>
      <w:pPr>
        <w:ind w:left="6218" w:hanging="273"/>
      </w:pPr>
      <w:rPr>
        <w:rFonts w:hint="default"/>
        <w:lang w:val="tr-TR" w:eastAsia="en-US" w:bidi="ar-SA"/>
      </w:rPr>
    </w:lvl>
    <w:lvl w:ilvl="8" w:tplc="1CEAB206">
      <w:numFmt w:val="bullet"/>
      <w:lvlText w:val="•"/>
      <w:lvlJc w:val="left"/>
      <w:pPr>
        <w:ind w:left="7092" w:hanging="27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23"/>
    <w:rsid w:val="00240223"/>
    <w:rsid w:val="005C7459"/>
    <w:rsid w:val="006413DA"/>
    <w:rsid w:val="00F42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F00"/>
  <w15:chartTrackingRefBased/>
  <w15:docId w15:val="{32058D80-37A5-4CD8-98F4-4B1966DF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13DA"/>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6413DA"/>
    <w:pPr>
      <w:ind w:left="1559" w:right="1559"/>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413DA"/>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6413DA"/>
    <w:pPr>
      <w:jc w:val="both"/>
    </w:pPr>
    <w:rPr>
      <w:sz w:val="24"/>
      <w:szCs w:val="24"/>
    </w:rPr>
  </w:style>
  <w:style w:type="character" w:customStyle="1" w:styleId="GvdeMetniChar">
    <w:name w:val="Gövde Metni Char"/>
    <w:basedOn w:val="VarsaylanParagrafYazTipi"/>
    <w:link w:val="GvdeMetni"/>
    <w:uiPriority w:val="1"/>
    <w:rsid w:val="006413DA"/>
    <w:rPr>
      <w:rFonts w:ascii="Times New Roman" w:eastAsia="Times New Roman" w:hAnsi="Times New Roman" w:cs="Times New Roman"/>
      <w:sz w:val="24"/>
      <w:szCs w:val="24"/>
    </w:rPr>
  </w:style>
  <w:style w:type="paragraph" w:styleId="ListeParagraf">
    <w:name w:val="List Paragraph"/>
    <w:basedOn w:val="Normal"/>
    <w:uiPriority w:val="1"/>
    <w:qFormat/>
    <w:rsid w:val="006413DA"/>
    <w:pPr>
      <w:ind w:left="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620</Words>
  <Characters>3534</Characters>
  <Application>Microsoft Office Word</Application>
  <DocSecurity>0</DocSecurity>
  <Lines>29</Lines>
  <Paragraphs>8</Paragraphs>
  <ScaleCrop>false</ScaleCrop>
  <Company>iOmerG</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Demir</dc:creator>
  <cp:keywords/>
  <dc:description/>
  <cp:lastModifiedBy>Cihan ALPTEKIN</cp:lastModifiedBy>
  <cp:revision>3</cp:revision>
  <dcterms:created xsi:type="dcterms:W3CDTF">2022-09-21T05:48:00Z</dcterms:created>
  <dcterms:modified xsi:type="dcterms:W3CDTF">2022-09-21T12:54:00Z</dcterms:modified>
</cp:coreProperties>
</file>